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FC" w:rsidRDefault="00AD0CB7" w:rsidP="00B577E3">
      <w:pPr>
        <w:shd w:val="clear" w:color="auto" w:fill="FFFFFF"/>
        <w:bidi/>
        <w:spacing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rtl/>
          <w:lang w:eastAsia="fr-BE"/>
        </w:rPr>
      </w:pPr>
      <w:r w:rsidRPr="00AD0CB7">
        <w:rPr>
          <w:rFonts w:ascii="Arial" w:eastAsia="Times New Roman" w:hAnsi="Arial" w:cs="Arial"/>
          <w:noProof/>
          <w:color w:val="222222"/>
          <w:sz w:val="19"/>
          <w:szCs w:val="19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1.15pt;margin-top:94.2pt;width:597.75pt;height:0;z-index:251658240" o:connectortype="straight" strokeweight="1.5pt"/>
        </w:pict>
      </w:r>
      <w:r w:rsidR="003D4AB0">
        <w:rPr>
          <w:rFonts w:ascii="Arial" w:eastAsia="Times New Roman" w:hAnsi="Arial" w:cs="Arial"/>
          <w:noProof/>
          <w:color w:val="222222"/>
          <w:sz w:val="19"/>
          <w:szCs w:val="19"/>
          <w:rtl/>
          <w:lang w:val="fr-FR" w:eastAsia="fr-FR"/>
        </w:rPr>
        <w:drawing>
          <wp:inline distT="0" distB="0" distL="0" distR="0">
            <wp:extent cx="900000" cy="877500"/>
            <wp:effectExtent l="19050" t="0" r="0" b="0"/>
            <wp:docPr id="7" name="Picture 2" descr="IMG-201510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1-WA00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AB0">
        <w:rPr>
          <w:rFonts w:ascii="Calibri" w:eastAsia="Times New Roman" w:hAnsi="Calibri" w:cs="Arial"/>
          <w:color w:val="000000"/>
          <w:sz w:val="28"/>
          <w:szCs w:val="28"/>
          <w:lang w:eastAsia="fr-BE"/>
        </w:rPr>
        <w:t xml:space="preserve">   </w:t>
      </w:r>
      <w:r w:rsidR="00F76CFC">
        <w:rPr>
          <w:rFonts w:ascii="Arial" w:eastAsia="Times New Roman" w:hAnsi="Arial" w:cs="Arial"/>
          <w:noProof/>
          <w:color w:val="222222"/>
          <w:sz w:val="19"/>
          <w:szCs w:val="19"/>
          <w:rtl/>
          <w:lang w:val="fr-FR" w:eastAsia="fr-FR"/>
        </w:rPr>
        <w:drawing>
          <wp:inline distT="0" distB="0" distL="0" distR="0">
            <wp:extent cx="900000" cy="900000"/>
            <wp:effectExtent l="19050" t="0" r="0" b="0"/>
            <wp:docPr id="1" name="Picture 0" descr="IMG-201510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1-WA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AB0">
        <w:rPr>
          <w:rFonts w:ascii="Calibri" w:eastAsia="Times New Roman" w:hAnsi="Calibri" w:cs="Arial"/>
          <w:color w:val="000000"/>
          <w:sz w:val="28"/>
          <w:szCs w:val="28"/>
          <w:lang w:eastAsia="fr-BE"/>
        </w:rPr>
        <w:t xml:space="preserve"> </w:t>
      </w:r>
      <w:r w:rsidR="003D4AB0">
        <w:rPr>
          <w:rFonts w:ascii="Arial" w:eastAsia="Times New Roman" w:hAnsi="Arial" w:cs="Arial"/>
          <w:noProof/>
          <w:color w:val="222222"/>
          <w:sz w:val="19"/>
          <w:szCs w:val="19"/>
          <w:rtl/>
          <w:lang w:eastAsia="fr-BE"/>
        </w:rPr>
        <w:t xml:space="preserve"> </w:t>
      </w:r>
      <w:r w:rsidR="00F76CFC">
        <w:rPr>
          <w:rFonts w:ascii="Arial" w:eastAsia="Times New Roman" w:hAnsi="Arial" w:cs="Arial"/>
          <w:noProof/>
          <w:color w:val="222222"/>
          <w:sz w:val="19"/>
          <w:szCs w:val="19"/>
          <w:rtl/>
          <w:lang w:val="fr-FR" w:eastAsia="fr-FR"/>
        </w:rPr>
        <w:drawing>
          <wp:inline distT="0" distB="0" distL="0" distR="0">
            <wp:extent cx="952500" cy="973433"/>
            <wp:effectExtent l="19050" t="0" r="0" b="0"/>
            <wp:docPr id="4" name="Picture 3" descr="IMG-201510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1-WA00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027" cy="98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AB0">
        <w:rPr>
          <w:rFonts w:ascii="Arial" w:eastAsia="Times New Roman" w:hAnsi="Arial" w:cs="Arial"/>
          <w:noProof/>
          <w:color w:val="222222"/>
          <w:sz w:val="19"/>
          <w:szCs w:val="19"/>
          <w:lang w:eastAsia="fr-BE"/>
        </w:rPr>
        <w:t xml:space="preserve">  </w:t>
      </w:r>
      <w:r w:rsidR="003D4AB0">
        <w:rPr>
          <w:rFonts w:ascii="Arial" w:eastAsia="Times New Roman" w:hAnsi="Arial" w:cs="Arial"/>
          <w:noProof/>
          <w:color w:val="222222"/>
          <w:sz w:val="19"/>
          <w:szCs w:val="19"/>
          <w:rtl/>
          <w:lang w:val="fr-FR" w:eastAsia="fr-FR"/>
        </w:rPr>
        <w:drawing>
          <wp:inline distT="0" distB="0" distL="0" distR="0">
            <wp:extent cx="800100" cy="880110"/>
            <wp:effectExtent l="19050" t="0" r="0" b="0"/>
            <wp:docPr id="8" name="Picture 1" descr="IMG-201510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1-WA00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4255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AB0">
        <w:rPr>
          <w:rFonts w:ascii="Arial" w:eastAsia="Times New Roman" w:hAnsi="Arial" w:cs="Arial"/>
          <w:noProof/>
          <w:color w:val="222222"/>
          <w:sz w:val="19"/>
          <w:szCs w:val="19"/>
          <w:lang w:eastAsia="fr-BE"/>
        </w:rPr>
        <w:t xml:space="preserve"> </w:t>
      </w:r>
      <w:r w:rsidR="003D4AB0">
        <w:rPr>
          <w:rFonts w:ascii="Arial" w:eastAsia="Times New Roman" w:hAnsi="Arial" w:cs="Arial" w:hint="cs"/>
          <w:noProof/>
          <w:color w:val="222222"/>
          <w:sz w:val="19"/>
          <w:szCs w:val="19"/>
          <w:rtl/>
          <w:lang w:eastAsia="fr-BE"/>
        </w:rPr>
        <w:t xml:space="preserve"> </w:t>
      </w:r>
      <w:r w:rsidR="003D4AB0">
        <w:rPr>
          <w:rFonts w:ascii="Arial" w:eastAsia="Times New Roman" w:hAnsi="Arial" w:cs="Arial"/>
          <w:noProof/>
          <w:color w:val="222222"/>
          <w:sz w:val="19"/>
          <w:szCs w:val="19"/>
          <w:lang w:eastAsia="fr-BE"/>
        </w:rPr>
        <w:t xml:space="preserve">  </w:t>
      </w:r>
      <w:r w:rsidR="00F76CFC">
        <w:rPr>
          <w:rFonts w:ascii="Arial" w:eastAsia="Times New Roman" w:hAnsi="Arial" w:cs="Arial"/>
          <w:noProof/>
          <w:color w:val="222222"/>
          <w:sz w:val="19"/>
          <w:szCs w:val="19"/>
          <w:rtl/>
          <w:lang w:val="fr-FR" w:eastAsia="fr-FR"/>
        </w:rPr>
        <w:drawing>
          <wp:inline distT="0" distB="0" distL="0" distR="0">
            <wp:extent cx="819150" cy="839629"/>
            <wp:effectExtent l="19050" t="0" r="0" b="0"/>
            <wp:docPr id="6" name="Picture 5" descr="IMG-201510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1-WA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3404" cy="8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7E3" w:rsidRPr="00914A82" w:rsidRDefault="00B577E3" w:rsidP="00B577E3">
      <w:pPr>
        <w:shd w:val="clear" w:color="auto" w:fill="FFFFFF"/>
        <w:bidi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  <w:rtl/>
          <w:lang w:val="fr-FR" w:eastAsia="fr-FR"/>
        </w:rPr>
      </w:pPr>
    </w:p>
    <w:p w:rsidR="00B577E3" w:rsidRPr="006A1ACD" w:rsidRDefault="00B577E3" w:rsidP="00914A82">
      <w:pPr>
        <w:shd w:val="clear" w:color="auto" w:fill="FFFFFF"/>
        <w:bidi/>
        <w:spacing w:after="0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rtl/>
          <w:lang w:val="fr-FR" w:eastAsia="fr-FR" w:bidi="ar-MA"/>
        </w:rPr>
      </w:pPr>
      <w:r w:rsidRPr="00B577E3">
        <w:rPr>
          <w:rFonts w:ascii="Arial" w:eastAsia="Times New Roman" w:hAnsi="Arial" w:cs="Arial"/>
          <w:b/>
          <w:bCs/>
          <w:color w:val="000000"/>
          <w:sz w:val="44"/>
          <w:szCs w:val="44"/>
          <w:rtl/>
          <w:lang w:val="fr-FR" w:eastAsia="fr-FR"/>
        </w:rPr>
        <w:t xml:space="preserve">بيان </w:t>
      </w:r>
      <w:r w:rsidRPr="006A1ACD">
        <w:rPr>
          <w:rFonts w:ascii="Arial" w:eastAsia="Times New Roman" w:hAnsi="Arial" w:cs="Arial" w:hint="cs"/>
          <w:b/>
          <w:bCs/>
          <w:color w:val="000000"/>
          <w:sz w:val="44"/>
          <w:szCs w:val="44"/>
          <w:rtl/>
          <w:lang w:val="fr-FR" w:eastAsia="fr-FR" w:bidi="ar-MA"/>
        </w:rPr>
        <w:t xml:space="preserve">مشترك </w:t>
      </w:r>
    </w:p>
    <w:p w:rsidR="00B577E3" w:rsidRDefault="00B577E3" w:rsidP="00225F81">
      <w:pPr>
        <w:shd w:val="clear" w:color="auto" w:fill="FFFFFF"/>
        <w:bidi/>
        <w:spacing w:after="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val="fr-FR" w:eastAsia="fr-FR" w:bidi="ar-MA"/>
        </w:rPr>
      </w:pPr>
      <w:r w:rsidRPr="00B577E3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val="fr-FR" w:eastAsia="fr-FR" w:bidi="ar-MA"/>
        </w:rPr>
        <w:t xml:space="preserve">بخصوص تكليف </w:t>
      </w:r>
      <w:proofErr w:type="spellStart"/>
      <w:r w:rsidRPr="00B577E3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val="fr-FR" w:eastAsia="fr-FR" w:bidi="ar-MA"/>
        </w:rPr>
        <w:t>اساتذة</w:t>
      </w:r>
      <w:proofErr w:type="spellEnd"/>
      <w:r w:rsidRPr="00B577E3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val="fr-FR" w:eastAsia="fr-FR" w:bidi="ar-MA"/>
        </w:rPr>
        <w:t xml:space="preserve"> التكنولوجيا بتدريس الرياضيات</w:t>
      </w:r>
    </w:p>
    <w:p w:rsidR="00967AA6" w:rsidRPr="00B577E3" w:rsidRDefault="00967AA6" w:rsidP="00967AA6">
      <w:pPr>
        <w:shd w:val="clear" w:color="auto" w:fill="FFFFFF"/>
        <w:bidi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rtl/>
          <w:lang w:val="fr-FR" w:eastAsia="fr-FR" w:bidi="ar-MA"/>
        </w:rPr>
      </w:pPr>
    </w:p>
    <w:p w:rsidR="00B577E3" w:rsidRPr="00B577E3" w:rsidRDefault="00B577E3" w:rsidP="00B577E3">
      <w:pPr>
        <w:spacing w:after="0"/>
        <w:rPr>
          <w:rFonts w:ascii="Times New Roman" w:eastAsia="Times New Roman" w:hAnsi="Times New Roman" w:cs="Times New Roman"/>
          <w:sz w:val="16"/>
          <w:szCs w:val="16"/>
          <w:rtl/>
          <w:lang w:val="fr-FR" w:eastAsia="fr-FR"/>
        </w:rPr>
      </w:pPr>
    </w:p>
    <w:p w:rsidR="00B577E3" w:rsidRPr="006A1ACD" w:rsidRDefault="00B577E3" w:rsidP="00AD5C80">
      <w:pPr>
        <w:shd w:val="clear" w:color="auto" w:fill="FFFFFF"/>
        <w:bidi/>
        <w:ind w:firstLine="4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</w:pP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>اجتمعت النقابات الاكثر التمثيلية بن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>ي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>ابة طنجة أصيلة يومه الثلاثاء 06 اكتوبر 2015 لتدارس مجموعة من النقاط المرتبطة بتدبير الدخول المدرس</w:t>
      </w:r>
      <w:r w:rsidR="00AD5C80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>ي برسم السنة الدراسية 2015-2016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 w:bidi="ar-MA"/>
        </w:rPr>
        <w:t xml:space="preserve">،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 xml:space="preserve">وخاصة ما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 w:bidi="ar-MA"/>
        </w:rPr>
        <w:t>نتج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 xml:space="preserve"> 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من مشاكل واختلالات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 xml:space="preserve"> 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 w:bidi="ar-MA"/>
        </w:rPr>
        <w:t>بعد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 w:bidi="ar-MA"/>
        </w:rPr>
        <w:t xml:space="preserve"> تطبيق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المراسلة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الوزارية رقم 235-15 المتعلقة ب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تدبير </w:t>
      </w:r>
      <w:r w:rsid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الفائض وسد الخصاص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.</w:t>
      </w:r>
    </w:p>
    <w:p w:rsidR="00B577E3" w:rsidRPr="00B577E3" w:rsidRDefault="00B577E3" w:rsidP="00967AA6">
      <w:pPr>
        <w:shd w:val="clear" w:color="auto" w:fill="FFFFFF"/>
        <w:bidi/>
        <w:ind w:firstLine="4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lang w:val="fr-FR" w:eastAsia="fr-FR"/>
        </w:rPr>
      </w:pP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وفي هذا الاطار توقفت عند العديد من ا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لتكليفات </w:t>
      </w:r>
      <w:r w:rsidR="0040623D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بتدريس الرياضيات 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التي 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أسندت ل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مجموعة من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أساتذة التكنولوجيا الصناعية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رغم انهم ليسو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 فائضين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بمؤسساتهم الاصلية ولم يسبق ادر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ا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جهم 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في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لوائح الفائض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 من طرف مصالح النيابة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.</w:t>
      </w:r>
    </w:p>
    <w:p w:rsidR="00B577E3" w:rsidRPr="006A1ACD" w:rsidRDefault="00B577E3" w:rsidP="00AD5C80">
      <w:pPr>
        <w:shd w:val="clear" w:color="auto" w:fill="FFFFFF"/>
        <w:bidi/>
        <w:ind w:firstLine="4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</w:pP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    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وعليه فان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 النقابات الموقعة على هذا البيان المشترك ت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عتبر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الاساتذة المعنيين بهذه التكليفات 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متضررين من عملية </w:t>
      </w:r>
      <w:r w:rsidR="004B7715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تدبير 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الفائض و</w:t>
      </w:r>
      <w:r w:rsidR="00914A8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سد الخصاص بنيابة طنجة</w:t>
      </w:r>
      <w:r w:rsidR="00A93DD2" w:rsidRPr="00A93DD2">
        <w:rPr>
          <w:rFonts w:ascii="Traditional Arabic" w:eastAsia="Times New Roman" w:hAnsi="Traditional Arabic" w:cs="Traditional Arabic" w:hint="cs"/>
          <w:b/>
          <w:bCs/>
          <w:color w:val="000000"/>
          <w:sz w:val="12"/>
          <w:szCs w:val="12"/>
          <w:rtl/>
          <w:lang w:val="fr-FR" w:eastAsia="fr-FR"/>
        </w:rPr>
        <w:t xml:space="preserve">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/</w:t>
      </w:r>
      <w:r w:rsidR="00A93DD2" w:rsidRPr="00A93DD2">
        <w:rPr>
          <w:rFonts w:ascii="Traditional Arabic" w:eastAsia="Times New Roman" w:hAnsi="Traditional Arabic" w:cs="Traditional Arabic" w:hint="cs"/>
          <w:b/>
          <w:bCs/>
          <w:color w:val="000000"/>
          <w:sz w:val="12"/>
          <w:szCs w:val="12"/>
          <w:rtl/>
          <w:lang w:val="fr-FR" w:eastAsia="fr-FR"/>
        </w:rPr>
        <w:t xml:space="preserve"> </w:t>
      </w:r>
      <w:r w:rsidR="00914A8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أصيلة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، </w:t>
      </w:r>
      <w:r w:rsidR="00914A8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تذكر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مسؤولي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 النيابة الاقليمية </w:t>
      </w:r>
      <w:r w:rsidR="00AD5C80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أنه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 </w:t>
      </w:r>
      <w:r w:rsidR="00AD5C80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لا علاقة لتخصص</w:t>
      </w:r>
      <w:r w:rsidR="00AD5C80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هم</w:t>
      </w:r>
      <w:r w:rsidR="00AD5C80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</w:t>
      </w:r>
      <w:r w:rsidR="00AD5C80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ولمسارهم المهني 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لا </w:t>
      </w:r>
      <w:r w:rsidR="00AD5C80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من قريب 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أو</w:t>
      </w:r>
      <w:r w:rsidR="00AD5C80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بعيد </w:t>
      </w:r>
      <w:r w:rsidR="00AD5C80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بتدريس مادة الرياضيات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، و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ان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هم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ي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توفر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ون 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على الكفاءة والأهلية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ل</w:t>
      </w:r>
      <w:r w:rsidR="00A93DD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تدريس م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ا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د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ة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تخصصهم 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الاصلية </w:t>
      </w:r>
      <w:r w:rsidR="00914A8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وليس مادة 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أخرى</w:t>
      </w:r>
      <w:r w:rsidR="00914A8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، كما 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ت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ضرب ناقوس الخطر 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من اجل التراجع عن هذه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التكليفات 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وتفادي ما سي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نتج عنها 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من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نفور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خطير لدى </w:t>
      </w:r>
      <w:r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التلاميذ من مادة الرياضيات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</w:t>
      </w:r>
      <w:r w:rsidR="0040623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ما سيترتب عن 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ذلك من تاثير سلبي على مسار تحصيلهم الدراسي.</w:t>
      </w:r>
    </w:p>
    <w:p w:rsidR="00B577E3" w:rsidRPr="00B577E3" w:rsidRDefault="0040623D" w:rsidP="00004834">
      <w:pPr>
        <w:shd w:val="clear" w:color="auto" w:fill="FFFFFF"/>
        <w:bidi/>
        <w:ind w:firstLine="4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</w:pP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في نفس الوقت، 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ت</w:t>
      </w:r>
      <w:r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علن 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أ</w:t>
      </w:r>
      <w:r w:rsidR="006A1AC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ن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ه</w:t>
      </w:r>
      <w:r w:rsidR="006A1AC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 س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ت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ناضل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بشكل مشترك من اجل ال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حفاظ على </w:t>
      </w:r>
      <w:r w:rsidR="00004834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تدريس 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ماد</w:t>
      </w:r>
      <w:r w:rsidR="00004834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ة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التكنولوجيا </w:t>
      </w:r>
      <w:r w:rsidR="00004834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الصناعية في جميع المؤسسات 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و</w:t>
      </w:r>
      <w:r w:rsidR="006A1ACD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من اجل صون حقوق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أساتذتها المشروعة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مثل 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باقي زملائهم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من 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أساتذة المواد الدراسية ا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لمختلفة ا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لأخرى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، و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ت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طالب مسؤولي النيابة الإقليمية ب</w:t>
      </w:r>
      <w:r w:rsidR="00A93DD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طنجة</w:t>
      </w:r>
      <w:r w:rsidR="00A93DD2" w:rsidRPr="00A93DD2">
        <w:rPr>
          <w:rFonts w:ascii="Traditional Arabic" w:eastAsia="Times New Roman" w:hAnsi="Traditional Arabic" w:cs="Traditional Arabic" w:hint="cs"/>
          <w:b/>
          <w:bCs/>
          <w:color w:val="000000"/>
          <w:sz w:val="12"/>
          <w:szCs w:val="12"/>
          <w:rtl/>
          <w:lang w:val="fr-FR" w:eastAsia="fr-FR"/>
        </w:rPr>
        <w:t xml:space="preserve">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/</w:t>
      </w:r>
      <w:r w:rsidR="00A93DD2" w:rsidRPr="00A93DD2">
        <w:rPr>
          <w:rFonts w:ascii="Traditional Arabic" w:eastAsia="Times New Roman" w:hAnsi="Traditional Arabic" w:cs="Traditional Arabic" w:hint="cs"/>
          <w:b/>
          <w:bCs/>
          <w:color w:val="000000"/>
          <w:sz w:val="12"/>
          <w:szCs w:val="12"/>
          <w:rtl/>
          <w:lang w:val="fr-FR" w:eastAsia="fr-FR"/>
        </w:rPr>
        <w:t xml:space="preserve"> </w:t>
      </w:r>
      <w:r w:rsidR="00A93DD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أصيلة</w:t>
      </w:r>
      <w:r w:rsidR="00A93DD2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بإ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لا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رجاع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الفوري لاساتذة ماد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ة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التكنولوجيا 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الصناعية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الى مؤسسات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هم 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الأصلية</w:t>
      </w:r>
      <w:r w:rsidR="006A1ACD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 </w:t>
      </w:r>
      <w:r w:rsidR="006A1ACD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 w:bidi="ar-MA"/>
        </w:rPr>
        <w:t>والاستمرار في</w:t>
      </w:r>
      <w:r w:rsidR="00AD5C80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تدريس </w:t>
      </w:r>
      <w:r w:rsidR="00AD5C8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مادة تخصصهم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التي تم تكوين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هم عليه</w:t>
      </w:r>
      <w:r w:rsidR="00004834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ا</w:t>
      </w:r>
      <w:r w:rsidR="00914A82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، </w:t>
      </w:r>
      <w:r w:rsidR="00A93DD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 xml:space="preserve">كما </w:t>
      </w:r>
      <w:r w:rsidR="00914A82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ت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حتفظ بحق </w:t>
      </w:r>
      <w:r w:rsidR="006A1ACD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  <w:lang w:val="fr-FR" w:eastAsia="fr-FR"/>
        </w:rPr>
        <w:t>اللجوء الى كافة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 xml:space="preserve"> الأشكال النضالية لتحقيق </w:t>
      </w:r>
      <w:r w:rsidR="00B577E3" w:rsidRPr="006A1ACD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هذه ال</w:t>
      </w:r>
      <w:r w:rsidR="00B577E3" w:rsidRPr="00B577E3"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  <w:lang w:val="fr-FR" w:eastAsia="fr-FR"/>
        </w:rPr>
        <w:t>مطالب.</w:t>
      </w:r>
    </w:p>
    <w:sectPr w:rsidR="00B577E3" w:rsidRPr="00B577E3" w:rsidSect="003F631F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CFC"/>
    <w:rsid w:val="00004834"/>
    <w:rsid w:val="001422C9"/>
    <w:rsid w:val="00225F81"/>
    <w:rsid w:val="00354BB3"/>
    <w:rsid w:val="00393BB3"/>
    <w:rsid w:val="003D4AB0"/>
    <w:rsid w:val="003F631F"/>
    <w:rsid w:val="0040623D"/>
    <w:rsid w:val="004539CF"/>
    <w:rsid w:val="00455839"/>
    <w:rsid w:val="004B7715"/>
    <w:rsid w:val="00571ADB"/>
    <w:rsid w:val="006A1ACD"/>
    <w:rsid w:val="0075669B"/>
    <w:rsid w:val="0090700A"/>
    <w:rsid w:val="00914A82"/>
    <w:rsid w:val="009361DF"/>
    <w:rsid w:val="00967AA6"/>
    <w:rsid w:val="00A93DD2"/>
    <w:rsid w:val="00AA70B4"/>
    <w:rsid w:val="00AD0CB7"/>
    <w:rsid w:val="00AD4F30"/>
    <w:rsid w:val="00AD5C80"/>
    <w:rsid w:val="00B577E3"/>
    <w:rsid w:val="00E0447B"/>
    <w:rsid w:val="00EF3698"/>
    <w:rsid w:val="00F7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5418-D877-4E5A-BA7A-8C372DFF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hp</cp:lastModifiedBy>
  <cp:revision>4</cp:revision>
  <cp:lastPrinted>2015-10-08T18:43:00Z</cp:lastPrinted>
  <dcterms:created xsi:type="dcterms:W3CDTF">2015-10-08T18:17:00Z</dcterms:created>
  <dcterms:modified xsi:type="dcterms:W3CDTF">2015-10-08T18:47:00Z</dcterms:modified>
</cp:coreProperties>
</file>